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360" w:lineRule="auto"/>
        <w:jc w:val="center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bookmarkStart w:colFirst="0" w:colLast="0" w:name="_heading=h.kk3k06n24c4r" w:id="0"/>
      <w:bookmarkEnd w:id="0"/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vertAlign w:val="baseline"/>
          <w:rtl w:val="0"/>
        </w:rPr>
        <w:t xml:space="preserve">FORMATO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80" w:before="280" w:line="360" w:lineRule="auto"/>
        <w:jc w:val="center"/>
        <w:rPr>
          <w:rFonts w:ascii="Century Gothic" w:cs="Century Gothic" w:eastAsia="Century Gothic" w:hAnsi="Century Gothic"/>
          <w:color w:val="ff0000"/>
          <w:sz w:val="20"/>
          <w:szCs w:val="20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vertAlign w:val="baseline"/>
          <w:rtl w:val="0"/>
        </w:rPr>
        <w:t xml:space="preserve">FORMATO PACTO DE TRANSPARENCIA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entury Gothic" w:cs="Century Gothic" w:eastAsia="Century Gothic" w:hAnsi="Century Gothic"/>
          <w:color w:val="3a7c22"/>
          <w:sz w:val="20"/>
          <w:szCs w:val="20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color w:val="3a7c22"/>
          <w:sz w:val="20"/>
          <w:szCs w:val="20"/>
          <w:vertAlign w:val="baseline"/>
          <w:rtl w:val="0"/>
        </w:rPr>
        <w:t xml:space="preserve"> No. XXXXXXXXXXXXXXXXXXXX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5">
      <w:pPr>
        <w:spacing w:after="0" w:line="240" w:lineRule="auto"/>
        <w:ind w:left="360" w:right="-91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ind w:left="360" w:right="-91" w:firstLine="0"/>
        <w:jc w:val="both"/>
        <w:rPr>
          <w:rFonts w:ascii="Century Gothic" w:cs="Century Gothic" w:eastAsia="Century Gothic" w:hAnsi="Century Gothic"/>
          <w:color w:val="3a7c22"/>
          <w:sz w:val="20"/>
          <w:szCs w:val="20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color w:val="3a7c22"/>
          <w:sz w:val="20"/>
          <w:szCs w:val="20"/>
          <w:vertAlign w:val="baseline"/>
          <w:rtl w:val="0"/>
        </w:rPr>
        <w:t xml:space="preserve">[Ciudad y Fecha]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ind w:left="360" w:right="-91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ind w:left="360" w:right="-91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ind w:left="360" w:right="-91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vertAlign w:val="baseline"/>
          <w:rtl w:val="0"/>
        </w:rPr>
        <w:t xml:space="preserve">Señores</w:t>
      </w:r>
    </w:p>
    <w:p w:rsidR="00000000" w:rsidDel="00000000" w:rsidP="00000000" w:rsidRDefault="00000000" w:rsidRPr="00000000" w14:paraId="0000000A">
      <w:pPr>
        <w:spacing w:after="0" w:line="240" w:lineRule="auto"/>
        <w:ind w:left="360" w:right="-91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vertAlign w:val="baseline"/>
          <w:rtl w:val="0"/>
        </w:rPr>
        <w:t xml:space="preserve">ALCALDIA MUNICIPAL DE MAICAO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left="360" w:right="-91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vertAlign w:val="baseline"/>
          <w:rtl w:val="0"/>
        </w:rPr>
        <w:t xml:space="preserve">Dirección de Contratación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left="360" w:right="-91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ind w:left="360" w:right="-91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vertAlign w:val="baseline"/>
          <w:rtl w:val="0"/>
        </w:rPr>
        <w:t xml:space="preserve">El (los) abajo firmante(s), actuando en nombre y representación de </w:t>
      </w:r>
      <w:r w:rsidDel="00000000" w:rsidR="00000000" w:rsidRPr="00000000">
        <w:rPr>
          <w:rFonts w:ascii="Century Gothic" w:cs="Century Gothic" w:eastAsia="Century Gothic" w:hAnsi="Century Gothic"/>
          <w:b w:val="1"/>
          <w:color w:val="3a7c22"/>
          <w:sz w:val="20"/>
          <w:szCs w:val="20"/>
          <w:vertAlign w:val="baseline"/>
          <w:rtl w:val="0"/>
        </w:rPr>
        <w:t xml:space="preserve">[nombre del Interesado. En el caso de Estructura Plural, debe incluirse el nombre de la Estructura Plural, así como el nombre de cada uno de sus miembros] 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vertAlign w:val="baseline"/>
          <w:rtl w:val="0"/>
        </w:rPr>
        <w:t xml:space="preserve">por medio de la presente en desarrollo de la</w:t>
      </w:r>
      <w:r w:rsidDel="00000000" w:rsidR="00000000" w:rsidRPr="00000000">
        <w:rPr>
          <w:rFonts w:ascii="Century Gothic" w:cs="Century Gothic" w:eastAsia="Century Gothic" w:hAnsi="Century Gothic"/>
          <w:b w:val="1"/>
          <w:color w:val="3a7c22"/>
          <w:sz w:val="20"/>
          <w:szCs w:val="20"/>
          <w:vertAlign w:val="baseline"/>
          <w:rtl w:val="0"/>
        </w:rPr>
        <w:t xml:space="preserve"> (modalidad) 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vertAlign w:val="baseline"/>
          <w:rtl w:val="0"/>
        </w:rPr>
        <w:t xml:space="preserve">No. </w:t>
      </w:r>
      <w:r w:rsidDel="00000000" w:rsidR="00000000" w:rsidRPr="00000000">
        <w:rPr>
          <w:rFonts w:ascii="Century Gothic" w:cs="Century Gothic" w:eastAsia="Century Gothic" w:hAnsi="Century Gothic"/>
          <w:b w:val="1"/>
          <w:color w:val="3a7c22"/>
          <w:sz w:val="20"/>
          <w:szCs w:val="20"/>
          <w:vertAlign w:val="baseline"/>
          <w:rtl w:val="0"/>
        </w:rPr>
        <w:t xml:space="preserve">xx-XX-00xx-202x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vertAlign w:val="baseline"/>
          <w:rtl w:val="0"/>
        </w:rPr>
        <w:t xml:space="preserve">, cuyo objeto es </w:t>
      </w: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vertAlign w:val="baseline"/>
          <w:rtl w:val="0"/>
        </w:rPr>
        <w:t xml:space="preserve">“</w:t>
      </w:r>
      <w:r w:rsidDel="00000000" w:rsidR="00000000" w:rsidRPr="00000000">
        <w:rPr>
          <w:rFonts w:ascii="Century Gothic" w:cs="Century Gothic" w:eastAsia="Century Gothic" w:hAnsi="Century Gothic"/>
          <w:color w:val="3a7c22"/>
          <w:sz w:val="20"/>
          <w:szCs w:val="20"/>
          <w:vertAlign w:val="baseline"/>
          <w:rtl w:val="0"/>
        </w:rPr>
        <w:t xml:space="preserve">XXXXXXX</w:t>
      </w:r>
      <w:r w:rsidDel="00000000" w:rsidR="00000000" w:rsidRPr="00000000">
        <w:rPr>
          <w:rFonts w:ascii="Century Gothic" w:cs="Century Gothic" w:eastAsia="Century Gothic" w:hAnsi="Century Gothic"/>
          <w:b w:val="1"/>
          <w:color w:val="000000"/>
          <w:sz w:val="20"/>
          <w:szCs w:val="20"/>
          <w:vertAlign w:val="baseline"/>
          <w:rtl w:val="0"/>
        </w:rPr>
        <w:t xml:space="preserve">.</w:t>
      </w: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vertAlign w:val="baseline"/>
          <w:rtl w:val="0"/>
        </w:rPr>
        <w:t xml:space="preserve">”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vertAlign w:val="baseline"/>
          <w:rtl w:val="0"/>
        </w:rPr>
        <w:t xml:space="preserve"> presentamos Pacto de Transparencia, en los siguientes términos: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720" w:right="-91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ind w:left="360" w:right="-91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vertAlign w:val="baseline"/>
          <w:rtl w:val="0"/>
        </w:rPr>
        <w:t xml:space="preserve">El presente Pacto de Transparencia, constituye una manifestación ética de los participantes del proceso y tiene por objeto minimizar la ocurrencia de hechos contrarios a la ética de lo público provenientes tanto de la iniciativa privada como la pública y promover un entorno de competencia justa y amplia visibilidad ante la opinión pública.</w:t>
      </w:r>
    </w:p>
    <w:p w:rsidR="00000000" w:rsidDel="00000000" w:rsidP="00000000" w:rsidRDefault="00000000" w:rsidRPr="00000000" w14:paraId="00000010">
      <w:pPr>
        <w:spacing w:after="0" w:line="240" w:lineRule="auto"/>
        <w:ind w:left="360" w:right="-91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Cumplir estrictamente, en su letra y su espíritu la Ley Aplicable.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6" w:right="0" w:firstLine="0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ofrecer sobornos, dádivas, recompensas o gratificaciones con el fin de incidir con las decisiones relacionadas con el presente proceso de selección.</w:t>
      </w:r>
    </w:p>
    <w:p w:rsidR="00000000" w:rsidDel="00000000" w:rsidP="00000000" w:rsidRDefault="00000000" w:rsidRPr="00000000" w14:paraId="00000014">
      <w:pPr>
        <w:spacing w:after="0" w:line="240" w:lineRule="auto"/>
        <w:ind w:left="426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Denunciar de manera inmediata ante las autoridades competentes cualquier ofrecimiento, favores, dádivas prerrogativas, recompensas o gratificaciones efectuadas por Interesados y/o Proponentes a funcionarios públicos o a sus asesores que estén directa o indirectamente involucrados en la estructuración, manejo y decisiones del proceso, durante el mismo, antes del inicio y/o durante la etapa de evaluación, que pueden ser interpretadas como efectuadas con la intención de inducir alguna decisión relacionada con la adjudicación.</w:t>
      </w:r>
    </w:p>
    <w:p w:rsidR="00000000" w:rsidDel="00000000" w:rsidP="00000000" w:rsidRDefault="00000000" w:rsidRPr="00000000" w14:paraId="00000016">
      <w:pPr>
        <w:spacing w:after="0" w:line="240" w:lineRule="auto"/>
        <w:ind w:left="426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Adicionalmente, en el evento de conocerse casos especiales de corrupción, reportar el hecho a la Secretaria de Transparencia de la Presidencia de la República.</w:t>
      </w:r>
    </w:p>
    <w:p w:rsidR="00000000" w:rsidDel="00000000" w:rsidP="00000000" w:rsidRDefault="00000000" w:rsidRPr="00000000" w14:paraId="00000018">
      <w:pPr>
        <w:spacing w:after="0" w:line="240" w:lineRule="auto"/>
        <w:ind w:left="426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Hacer un estudio completo del Proyecto y del Pliego a fin de contar con los elementos de juicio e información económica relevante y necesaria para tomar una decisión sustentada para presentar una propuesta. Lo anterior, con el propósito de que la misma sea seria y honesta de tal manera que permita participar en el proceso de selección y en caso de resultar adjudicatario permita ejecutar todas las obligaciones contenidas en el contrato, así como asumir los riesgos asociados a la ejecución del mismo.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Solicitar u ofrecer cualquier información utilizando los procedimientos previstos en el pliego de condiciones.</w:t>
      </w:r>
    </w:p>
    <w:p w:rsidR="00000000" w:rsidDel="00000000" w:rsidP="00000000" w:rsidRDefault="00000000" w:rsidRPr="00000000" w14:paraId="0000001C">
      <w:pPr>
        <w:spacing w:after="0" w:line="240" w:lineRule="auto"/>
        <w:ind w:left="426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hacer arreglos previos con otros proponentes para tratar de influenciar o manipular los resultados de la adjudicación.</w:t>
      </w:r>
    </w:p>
    <w:p w:rsidR="00000000" w:rsidDel="00000000" w:rsidP="00000000" w:rsidRDefault="00000000" w:rsidRPr="00000000" w14:paraId="0000001E">
      <w:pPr>
        <w:spacing w:after="0" w:line="240" w:lineRule="auto"/>
        <w:ind w:left="426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Declarar públicamente que se conocen y aceptan las condiciones establecidas en el pliego de condiciones, lo cual se hace a través de la presentación de la propuesta.</w:t>
      </w:r>
    </w:p>
    <w:p w:rsidR="00000000" w:rsidDel="00000000" w:rsidP="00000000" w:rsidRDefault="00000000" w:rsidRPr="00000000" w14:paraId="00000020">
      <w:pPr>
        <w:spacing w:after="0" w:line="240" w:lineRule="auto"/>
        <w:ind w:left="426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utilizar en la etapa de evaluación de las propuestas argumentos carentes de sustento probatorio para efectos de buscar la descalificación de competidores.</w:t>
      </w:r>
    </w:p>
    <w:p w:rsidR="00000000" w:rsidDel="00000000" w:rsidP="00000000" w:rsidRDefault="00000000" w:rsidRPr="00000000" w14:paraId="00000022">
      <w:pPr>
        <w:spacing w:after="0" w:line="240" w:lineRule="auto"/>
        <w:ind w:left="426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Interpretar de buena fe las normas aplicables al proceso de selección, de manera que siempre produzcan los efectos buscados por las mismas.</w:t>
      </w:r>
    </w:p>
    <w:p w:rsidR="00000000" w:rsidDel="00000000" w:rsidP="00000000" w:rsidRDefault="00000000" w:rsidRPr="00000000" w14:paraId="00000024">
      <w:pPr>
        <w:spacing w:after="0" w:line="240" w:lineRule="auto"/>
        <w:ind w:left="426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incurrir en falsedad de los documentos exigidos para cumplir con los requisitos del proceso de selección.</w:t>
      </w:r>
    </w:p>
    <w:p w:rsidR="00000000" w:rsidDel="00000000" w:rsidP="00000000" w:rsidRDefault="00000000" w:rsidRPr="00000000" w14:paraId="00000026">
      <w:pPr>
        <w:spacing w:after="0" w:line="240" w:lineRule="auto"/>
        <w:ind w:left="426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Igualmente se acepta que durante la evaluación de las propuestas prime el criterio de respetar el espíritu de la Ley Aplicable y los aspectos de fondo por encima de la forma, buscando siempre favorecer la libre competencia.</w:t>
      </w:r>
    </w:p>
    <w:p w:rsidR="00000000" w:rsidDel="00000000" w:rsidP="00000000" w:rsidRDefault="00000000" w:rsidRPr="00000000" w14:paraId="00000028">
      <w:pPr>
        <w:spacing w:after="0" w:line="240" w:lineRule="auto"/>
        <w:ind w:left="426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Abstenerse de proferir juicios de valor contra personas naturales o jurídicas, ni referirse a asuntos personales de otros Interesados y/o proponentes. Por lo tanto, en las audiencias solamente se debatirán asuntos relacionados con el proceso de selección y las propuestas.</w:t>
      </w:r>
    </w:p>
    <w:p w:rsidR="00000000" w:rsidDel="00000000" w:rsidP="00000000" w:rsidRDefault="00000000" w:rsidRPr="00000000" w14:paraId="0000002A">
      <w:pPr>
        <w:spacing w:after="0" w:line="240" w:lineRule="auto"/>
        <w:ind w:left="426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 las audiencias guardar compostura, no levantar la voz y hacer uso de la palabra únicamente cuando sea concedida y por el tiempo que sea concedida. Acatar las decisiones de la Entidad y en caso de desacuerdo, en los términos de la Ley aplicable, interponer los recursos o acciones que se consideren pertinentes.</w:t>
      </w:r>
    </w:p>
    <w:p w:rsidR="00000000" w:rsidDel="00000000" w:rsidP="00000000" w:rsidRDefault="00000000" w:rsidRPr="00000000" w14:paraId="0000002C">
      <w:pPr>
        <w:spacing w:after="0" w:line="240" w:lineRule="auto"/>
        <w:ind w:left="426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Actuar con lealtad hacia los demás interesados y/o proponentes, así como frente a la Entidad. Por lo tanto, abstenerse de utilizar herramientas para dilatar el proceso de selección.</w:t>
      </w:r>
    </w:p>
    <w:p w:rsidR="00000000" w:rsidDel="00000000" w:rsidP="00000000" w:rsidRDefault="00000000" w:rsidRPr="00000000" w14:paraId="0000002E">
      <w:pPr>
        <w:spacing w:after="0" w:line="240" w:lineRule="auto"/>
        <w:ind w:left="426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Abstenerse de hacer manifestaciones orales o escritas en contra de los demás proponentes y sus propuestas o terceros sin contar con las pruebas suficientes, las cuales deberán estar a inmediata disposición de la Entidad para corroborar tales afirmaciones en caso de que se presenten.</w:t>
      </w:r>
    </w:p>
    <w:p w:rsidR="00000000" w:rsidDel="00000000" w:rsidP="00000000" w:rsidRDefault="00000000" w:rsidRPr="00000000" w14:paraId="00000030">
      <w:pPr>
        <w:spacing w:after="0" w:line="240" w:lineRule="auto"/>
        <w:ind w:left="426" w:firstLine="0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Asimismo, interesado y/o proponente (en adelante cualquiera los “Obligados”), se comprometen a: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firstLine="0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283.9999999999999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Suscribir entre los empleados, proveedores y subcontratistas un pacto ético de conducta que garantice la probidad y transparencia de las actuaciones de todos los involucrados en la preparación de la propuesta y en la ejecución del contrato.</w:t>
      </w:r>
    </w:p>
    <w:p w:rsidR="00000000" w:rsidDel="00000000" w:rsidP="00000000" w:rsidRDefault="00000000" w:rsidRPr="00000000" w14:paraId="00000034">
      <w:pPr>
        <w:spacing w:after="0" w:line="240" w:lineRule="auto"/>
        <w:ind w:left="993" w:hanging="283.9999999999999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283.9999999999999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 caso de presentarse alguna queja o denuncia sobre la ocurrencia de un acto corrupción durante el proceso de selección o con cargo al contrato, los obligados darán conocimiento a la entidad y a las autoridades competentes de la ocurrencia de tal situación y de los pagos hechos hasta la fecha a terceros.</w:t>
      </w:r>
    </w:p>
    <w:p w:rsidR="00000000" w:rsidDel="00000000" w:rsidP="00000000" w:rsidRDefault="00000000" w:rsidRPr="00000000" w14:paraId="00000036">
      <w:pPr>
        <w:spacing w:after="0" w:line="240" w:lineRule="auto"/>
        <w:ind w:left="993" w:hanging="283.9999999999999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283.9999999999999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ofrecer trabajo como parte del obligado que resulte adjudicatario a ningún funcionario público o contratista vinculados en la entidad ni a sus familiares en primer grado de consanguinidad, segundo de afinidad o primero civil a partir de la adjudicación y hasta el año siguiente a la finalización de la ejecución del contrato.</w:t>
      </w:r>
    </w:p>
    <w:p w:rsidR="00000000" w:rsidDel="00000000" w:rsidP="00000000" w:rsidRDefault="00000000" w:rsidRPr="00000000" w14:paraId="00000038">
      <w:pPr>
        <w:spacing w:after="0" w:line="240" w:lineRule="auto"/>
        <w:ind w:left="993" w:hanging="283.9999999999999"/>
        <w:jc w:val="both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283.9999999999999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ofrecer gratificaciones o atenciones en especie, ni financiar fiestas, recepciones u homenajes a funcionarios públicos durante las diferentes etapas del proceso de selección ni durante la ejecución del contrato.</w:t>
      </w:r>
    </w:p>
    <w:p w:rsidR="00000000" w:rsidDel="00000000" w:rsidP="00000000" w:rsidRDefault="00000000" w:rsidRPr="00000000" w14:paraId="0000003A">
      <w:pPr>
        <w:spacing w:after="0" w:line="240" w:lineRule="auto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line="240" w:lineRule="auto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720"/>
          <w:tab w:val="left" w:leader="none" w:pos="0"/>
        </w:tabs>
        <w:spacing w:after="0" w:before="0" w:line="240" w:lineRule="auto"/>
        <w:ind w:left="426" w:right="-91" w:hanging="426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720"/>
          <w:tab w:val="left" w:leader="none" w:pos="0"/>
        </w:tabs>
        <w:spacing w:after="0" w:before="0" w:line="240" w:lineRule="auto"/>
        <w:ind w:left="426" w:right="-91" w:hanging="426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Nombre o Razón Social del Proponente:</w:t>
        <w:tab/>
        <w:t xml:space="preserve">________________________________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720"/>
          <w:tab w:val="left" w:leader="none" w:pos="0"/>
        </w:tabs>
        <w:spacing w:after="0" w:before="0" w:line="240" w:lineRule="auto"/>
        <w:ind w:left="426" w:right="-91" w:hanging="426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NIT: </w:t>
        <w:tab/>
        <w:t xml:space="preserve">___________________________________________________________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720"/>
          <w:tab w:val="left" w:leader="none" w:pos="0"/>
        </w:tabs>
        <w:spacing w:after="0" w:before="0" w:line="240" w:lineRule="auto"/>
        <w:ind w:left="426" w:right="-91" w:hanging="426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Nombre del Representante Legal: ____________________________________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720"/>
          <w:tab w:val="left" w:leader="none" w:pos="0"/>
        </w:tabs>
        <w:spacing w:after="0" w:before="0" w:line="240" w:lineRule="auto"/>
        <w:ind w:left="426" w:right="-91" w:hanging="426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C.C. No. ______________________ De _______________________________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720"/>
          <w:tab w:val="left" w:leader="none" w:pos="0"/>
        </w:tabs>
        <w:spacing w:after="0" w:before="0" w:line="240" w:lineRule="auto"/>
        <w:ind w:left="426" w:right="-91" w:hanging="426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Dirección   ______________________________________________________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720"/>
          <w:tab w:val="left" w:leader="none" w:pos="0"/>
        </w:tabs>
        <w:spacing w:after="0" w:before="0" w:line="240" w:lineRule="auto"/>
        <w:ind w:left="426" w:right="-91" w:hanging="426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Teléfonos ___________________________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720"/>
          <w:tab w:val="left" w:leader="none" w:pos="0"/>
        </w:tabs>
        <w:spacing w:after="0" w:before="0" w:line="240" w:lineRule="auto"/>
        <w:ind w:left="426" w:right="-91" w:hanging="426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Correos Electrónicos</w:t>
      </w: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1 - 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720"/>
          <w:tab w:val="left" w:leader="none" w:pos="0"/>
        </w:tabs>
        <w:spacing w:after="0" w:before="0" w:line="240" w:lineRule="auto"/>
        <w:ind w:left="1842" w:right="-91" w:firstLine="281.9999999999999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2 - 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720"/>
          <w:tab w:val="left" w:leader="none" w:pos="0"/>
        </w:tabs>
        <w:spacing w:after="0" w:before="0" w:line="240" w:lineRule="auto"/>
        <w:ind w:left="426" w:right="-91" w:hanging="426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Ciudad   _______________________________________________________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720"/>
          <w:tab w:val="left" w:leader="none" w:pos="0"/>
        </w:tabs>
        <w:spacing w:after="0" w:before="0" w:line="240" w:lineRule="auto"/>
        <w:ind w:left="426" w:right="-91" w:hanging="426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720"/>
          <w:tab w:val="left" w:leader="none" w:pos="0"/>
        </w:tabs>
        <w:spacing w:after="0" w:before="0" w:line="240" w:lineRule="auto"/>
        <w:ind w:left="0" w:right="-91" w:firstLine="0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FIRMA: ____________________________________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720"/>
          <w:tab w:val="left" w:leader="none" w:pos="0"/>
        </w:tabs>
        <w:spacing w:after="0" w:before="0" w:line="240" w:lineRule="auto"/>
        <w:ind w:left="426" w:right="-91" w:hanging="426"/>
        <w:jc w:val="left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NOMBRE DE QUIEN FIRMA: _______________________________________</w:t>
      </w:r>
    </w:p>
    <w:p w:rsidR="00000000" w:rsidDel="00000000" w:rsidP="00000000" w:rsidRDefault="00000000" w:rsidRPr="00000000" w14:paraId="0000004B">
      <w:pPr>
        <w:spacing w:after="0" w:line="240" w:lineRule="auto"/>
        <w:jc w:val="center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40" w:lineRule="auto"/>
        <w:jc w:val="center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4D">
      <w:pPr>
        <w:spacing w:after="0" w:line="240" w:lineRule="auto"/>
        <w:jc w:val="center"/>
        <w:rPr>
          <w:rFonts w:ascii="Century Gothic" w:cs="Century Gothic" w:eastAsia="Century Gothic" w:hAnsi="Century Gothic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40" w:lineRule="auto"/>
        <w:ind w:firstLine="1410"/>
        <w:rPr>
          <w:rFonts w:ascii="Century Gothic" w:cs="Century Gothic" w:eastAsia="Century Gothic" w:hAnsi="Century Gothic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1"/>
          <w:color w:val="000000"/>
          <w:sz w:val="20"/>
          <w:szCs w:val="20"/>
          <w:vertAlign w:val="baseline"/>
          <w:rtl w:val="0"/>
        </w:rPr>
        <w:t xml:space="preserve">   </w:t>
      </w:r>
      <w:r w:rsidDel="00000000" w:rsidR="00000000" w:rsidRPr="00000000">
        <w:rPr>
          <w:rFonts w:ascii="Century Gothic" w:cs="Century Gothic" w:eastAsia="Century Gothic" w:hAnsi="Century Gothic"/>
          <w:b w:val="1"/>
          <w:color w:val="000000"/>
          <w:sz w:val="20"/>
          <w:szCs w:val="20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NOTA: </w:t>
      </w:r>
      <w:r w:rsidDel="00000000" w:rsidR="00000000" w:rsidRPr="00000000">
        <w:rPr>
          <w:rFonts w:ascii="Century Gothic" w:cs="Century Gothic" w:eastAsia="Century Gothic" w:hAnsi="Century Gothic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SUSCRIBIRÁ EL DOCUMENTO EL REPRESENTANTE LEGAL DE LA PERSONA JURÍDICA SINGULAR, LA PERSONA NATURAL O TODOS LOS INTEGRANTES DEL PROPONENTE PLURAL.  LOS SUSCRIBIENTES DEBERÁN ESTAR ACREDITADOS DENTRO DE LOS DOCUMENTOS DE EXISTENCIA Y REPRESENTACIÓN LEGAL Y/O PODERES CONFERIDOS Y ALLEGADOS AL PRESENTE PROCESO DE SELECCIÓN.</w:t>
      </w:r>
    </w:p>
    <w:p w:rsidR="00000000" w:rsidDel="00000000" w:rsidP="00000000" w:rsidRDefault="00000000" w:rsidRPr="00000000" w14:paraId="00000050">
      <w:pPr>
        <w:jc w:val="center"/>
        <w:rPr>
          <w:rFonts w:ascii="Century Gothic" w:cs="Century Gothic" w:eastAsia="Century Gothic" w:hAnsi="Century Gothic"/>
          <w:i w:val="0"/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</w:t>
      </w:r>
    </w:p>
    <w:sectPr>
      <w:headerReference r:id="rId7" w:type="default"/>
      <w:headerReference r:id="rId8" w:type="first"/>
      <w:headerReference r:id="rId9" w:type="even"/>
      <w:footerReference r:id="rId10" w:type="default"/>
      <w:pgSz w:h="18711" w:w="12191" w:orient="portrait"/>
      <w:pgMar w:bottom="2410" w:top="1418" w:left="1701" w:right="1701" w:header="1701" w:footer="45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masis MT Pro Light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45720" distT="45720" distL="114300" distR="114300" hidden="0" layoutInCell="1" locked="0" relativeHeight="0" simplePos="0">
              <wp:simplePos x="0" y="0"/>
              <wp:positionH relativeFrom="column">
                <wp:posOffset>2717800</wp:posOffset>
              </wp:positionH>
              <wp:positionV relativeFrom="paragraph">
                <wp:posOffset>-55879</wp:posOffset>
              </wp:positionV>
              <wp:extent cx="3636645" cy="109537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532440" y="3237075"/>
                        <a:ext cx="3627120" cy="1085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8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entury Gothic" w:cs="Century Gothic" w:eastAsia="Century Gothic" w:hAnsi="Century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Calle 12 # 11 - 36 Centro Administrativo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8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entury Gothic" w:cs="Century Gothic" w:eastAsia="Century Gothic" w:hAnsi="Century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entury Gothic" w:cs="Century Gothic" w:eastAsia="Century Gothic" w:hAnsi="Century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Municipal CAM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8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entury Gothic" w:cs="Century Gothic" w:eastAsia="Century Gothic" w:hAnsi="Century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entury Gothic" w:cs="Century Gothic" w:eastAsia="Century Gothic" w:hAnsi="Century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(5) 7268233 – Fax 8930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8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entury Gothic" w:cs="Century Gothic" w:eastAsia="Century Gothic" w:hAnsi="Century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1"/>
                              <w:vertAlign w:val="baseline"/>
                            </w:rPr>
                            <w:t xml:space="preserve">HYPERLINK "http://www.maicao-laguajira.gov.co"</w:t>
                          </w:r>
                          <w:r w:rsidDel="00000000" w:rsidR="00000000" w:rsidRPr="00000000">
                            <w:rPr>
                              <w:rFonts w:ascii="Century Gothic" w:cs="Century Gothic" w:eastAsia="Century Gothic" w:hAnsi="Century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u w:val="single"/>
                              <w:vertAlign w:val="baseline"/>
                            </w:rPr>
                            <w:t xml:space="preserve">www.maicao-laguajira.gov.co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8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entury Gothic" w:cs="Century Gothic" w:eastAsia="Century Gothic" w:hAnsi="Century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u w:val="single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1"/>
                              <w:vertAlign w:val="baseline"/>
                            </w:rPr>
                            <w:t xml:space="preserve">HYPERLINK "mailto:oficinadecontratacion@maicao-laguajira.gov.co"</w:t>
                          </w:r>
                          <w:r w:rsidDel="00000000" w:rsidR="00000000" w:rsidRPr="00000000">
                            <w:rPr>
                              <w:rFonts w:ascii="Century Gothic" w:cs="Century Gothic" w:eastAsia="Century Gothic" w:hAnsi="Century Gothic"/>
                              <w:b w:val="0"/>
                              <w:i w:val="0"/>
                              <w:smallCaps w:val="0"/>
                              <w:strike w:val="0"/>
                              <w:color w:val="0563c1"/>
                              <w:sz w:val="20"/>
                              <w:u w:val="single"/>
                              <w:vertAlign w:val="baseline"/>
                            </w:rPr>
                            <w:t xml:space="preserve">oficinadecontratacion@maicao-laguajira.gov.co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88.0000114440918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entury Gothic" w:cs="Century Gothic" w:eastAsia="Century Gothic" w:hAnsi="Century Gothic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u w:val="single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45720" distT="45720" distL="114300" distR="114300" hidden="0" layoutInCell="1" locked="0" relativeHeight="0" simplePos="0">
              <wp:simplePos x="0" y="0"/>
              <wp:positionH relativeFrom="column">
                <wp:posOffset>2717800</wp:posOffset>
              </wp:positionH>
              <wp:positionV relativeFrom="paragraph">
                <wp:posOffset>-55879</wp:posOffset>
              </wp:positionV>
              <wp:extent cx="3636645" cy="1095375"/>
              <wp:effectExtent b="0" l="0" r="0" t="0"/>
              <wp:wrapNone/>
              <wp:docPr id="1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36645" cy="10953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21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21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21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21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21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21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  <w:pict>
        <v:shape id="WordPictureWatermark1" style="position:absolute;width:467.0pt;height:189.0pt;rotation:0;z-index:-503316481;mso-position-horizontal-relative:left-margin-area;mso-position-horizontal:center;mso-position-vertical-relative:top-margin-area;mso-position-vertical:center;" alt="" type="#_x0000_t75">
          <v:imagedata cropbottom="0f" cropleft="0f" cropright="0f" croptop="0f" r:id="rId1" o:title="image4.jpg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  <w:pict>
        <v:shape id="WordPictureWatermark2" style="position:absolute;width:467.0pt;height:189.0pt;rotation:0;z-index:-503316481;mso-position-horizontal-relative:left-margin-area;mso-position-horizontal:center;mso-position-vertical-relative:top-margin-area;mso-position-vertical:center;" alt="" type="#_x0000_t75">
          <v:imagedata cropbottom="0f" cropleft="0f" cropright="0f" croptop="0f" r:id="rId1" o:title="image4.jp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-209549</wp:posOffset>
          </wp:positionH>
          <wp:positionV relativeFrom="paragraph">
            <wp:posOffset>-845818</wp:posOffset>
          </wp:positionV>
          <wp:extent cx="2038350" cy="973455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30693" l="4772" r="78825" t="30735"/>
                  <a:stretch>
                    <a:fillRect/>
                  </a:stretch>
                </pic:blipFill>
                <pic:spPr>
                  <a:xfrm>
                    <a:off x="0" y="0"/>
                    <a:ext cx="2038350" cy="97345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3524250</wp:posOffset>
          </wp:positionH>
          <wp:positionV relativeFrom="paragraph">
            <wp:posOffset>-882014</wp:posOffset>
          </wp:positionV>
          <wp:extent cx="2266950" cy="979170"/>
          <wp:effectExtent b="0" l="0" r="0" t="0"/>
          <wp:wrapSquare wrapText="bothSides" distB="0" distT="0" distL="114300" distR="114300"/>
          <wp:docPr id="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58095" l="59453" r="21635" t="27366"/>
                  <a:stretch>
                    <a:fillRect/>
                  </a:stretch>
                </pic:blipFill>
                <pic:spPr>
                  <a:xfrm>
                    <a:off x="0" y="0"/>
                    <a:ext cx="2266950" cy="97917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masis MT Pro Light" w:cs="Amasis MT Pro Light" w:eastAsia="Amasis MT Pro Light" w:hAnsi="Amasis MT Pro Light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masis MT Pro Light" w:cs="Amasis MT Pro Light" w:eastAsia="Amasis MT Pro Light" w:hAnsi="Amasis MT Pro Light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1762125</wp:posOffset>
          </wp:positionH>
          <wp:positionV relativeFrom="paragraph">
            <wp:posOffset>2710815</wp:posOffset>
          </wp:positionV>
          <wp:extent cx="2620645" cy="1746885"/>
          <wp:effectExtent b="0" l="0" r="0" t="0"/>
          <wp:wrapNone/>
          <wp:docPr id="3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620645" cy="174688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Roman"/>
      <w:lvlText w:val="(%2)"/>
      <w:lvlJc w:val="left"/>
      <w:pPr>
        <w:ind w:left="1800" w:hanging="720"/>
      </w:pPr>
      <w:rPr>
        <w:b w:val="1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lowerLetter"/>
      <w:lvlText w:val="%1)"/>
      <w:lvlJc w:val="left"/>
      <w:pPr>
        <w:ind w:left="1571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229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3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89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1"/>
        <w:szCs w:val="21"/>
        <w:lang w:val="es-CO"/>
      </w:rPr>
    </w:rPrDefault>
    <w:pPrDefault>
      <w:pPr>
        <w:spacing w:after="200" w:line="288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after="200" w:line="288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1"/>
      <w:szCs w:val="21"/>
      <w:effect w:val="none"/>
      <w:vertAlign w:val="baseline"/>
      <w:cs w:val="0"/>
      <w:em w:val="none"/>
      <w:lang w:bidi="ar-SA" w:eastAsia="en-US" w:val="es-CO"/>
    </w:rPr>
  </w:style>
  <w:style w:type="character" w:styleId="Fuentedepárrafopredeter.">
    <w:name w:val="Fuente de párrafo predeter."/>
    <w:next w:val="Fuentedepárrafopredeter.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anormal">
    <w:name w:val="Tabla normal"/>
    <w:next w:val="Tab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>
    <w:name w:val="Sin lista"/>
    <w:next w:val="Sin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Encabezado,encabezado,h,h8,h9,h10,h18">
    <w:name w:val="Encabezado,encabezado,h,h8,h9,h10,h18"/>
    <w:basedOn w:val="Normal"/>
    <w:next w:val="Encabezado,encabezado,h,h8,h9,h10,h18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1"/>
      <w:szCs w:val="21"/>
      <w:effect w:val="none"/>
      <w:vertAlign w:val="baseline"/>
      <w:cs w:val="0"/>
      <w:em w:val="none"/>
      <w:lang w:bidi="ar-SA" w:eastAsia="en-US" w:val="es-CO"/>
    </w:rPr>
  </w:style>
  <w:style w:type="character" w:styleId="EncabezadoCar,encabezadoCar,hCar,h8Car,h9Car,h10Car,h18Car">
    <w:name w:val="Encabezado Car,encabezado Car,h Car,h8 Car,h9 Car,h10 Car,h18 Car"/>
    <w:basedOn w:val="Fuentedepárrafopredeter."/>
    <w:next w:val="EncabezadoCar,encabezadoCar,hCar,h8Car,h9Car,h10Car,h18C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Piedepágina">
    <w:name w:val="Pie de página"/>
    <w:basedOn w:val="Normal"/>
    <w:next w:val="Piedepágina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1"/>
      <w:szCs w:val="21"/>
      <w:effect w:val="none"/>
      <w:vertAlign w:val="baseline"/>
      <w:cs w:val="0"/>
      <w:em w:val="none"/>
      <w:lang w:bidi="ar-SA" w:eastAsia="en-US" w:val="es-CO"/>
    </w:rPr>
  </w:style>
  <w:style w:type="character" w:styleId="PiedepáginaCar">
    <w:name w:val="Pie de página Car"/>
    <w:basedOn w:val="Fuentedepárrafopredeter."/>
    <w:next w:val="PiedepáginaC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extodeglobo">
    <w:name w:val="Texto de globo"/>
    <w:basedOn w:val="Normal"/>
    <w:next w:val="Textodeglobo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Segoe UI" w:cs="Segoe UI" w:eastAsia="PMingLiU" w:hAnsi="Segoe UI"/>
      <w:w w:val="100"/>
      <w:position w:val="-1"/>
      <w:sz w:val="18"/>
      <w:szCs w:val="18"/>
      <w:effect w:val="none"/>
      <w:vertAlign w:val="baseline"/>
      <w:cs w:val="0"/>
      <w:em w:val="none"/>
      <w:lang w:bidi="ar-SA" w:eastAsia="en-US" w:val="es-CO"/>
    </w:rPr>
  </w:style>
  <w:style w:type="character" w:styleId="TextodegloboCar">
    <w:name w:val="Texto de globo Car"/>
    <w:next w:val="TextodegloboCar"/>
    <w:autoRedefine w:val="0"/>
    <w:hidden w:val="0"/>
    <w:qFormat w:val="0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Hipervínculo">
    <w:name w:val="Hipervínculo"/>
    <w:next w:val="Hipervínculo"/>
    <w:autoRedefine w:val="0"/>
    <w:hidden w:val="0"/>
    <w:qFormat w:val="1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Sinespaciado">
    <w:name w:val="Sin espaciado"/>
    <w:next w:val="Sinespaciad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ES"/>
    </w:rPr>
  </w:style>
  <w:style w:type="table" w:styleId="Tablaconcuadrícula">
    <w:name w:val="Tabla con cuadrícula"/>
    <w:basedOn w:val="Tablanormal"/>
    <w:next w:val="Tablaconcuadrícula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1"/>
      <w:szCs w:val="21"/>
      <w:effect w:val="none"/>
      <w:vertAlign w:val="baseline"/>
      <w:cs w:val="0"/>
      <w:em w:val="none"/>
      <w:lang w:val="es-ES"/>
    </w:rPr>
    <w:tblPr>
      <w:tblStyle w:val="Tablaconcuadrícul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SinespaciadoCar">
    <w:name w:val="Sin espaciado Car"/>
    <w:next w:val="SinespaciadoC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val="es-ES"/>
    </w:rPr>
  </w:style>
  <w:style w:type="paragraph" w:styleId="CM1">
    <w:name w:val="CM1"/>
    <w:basedOn w:val="Normal"/>
    <w:next w:val="Normal"/>
    <w:autoRedefine w:val="0"/>
    <w:hidden w:val="0"/>
    <w:qFormat w:val="0"/>
    <w:pPr>
      <w:suppressAutoHyphens w:val="1"/>
      <w:autoSpaceDE w:val="0"/>
      <w:autoSpaceDN w:val="0"/>
      <w:adjustRightInd w:val="0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Arial" w:cs="Arial" w:eastAsia="Calibri" w:hAnsi="Arial"/>
      <w:w w:val="100"/>
      <w:position w:val="-1"/>
      <w:sz w:val="24"/>
      <w:szCs w:val="24"/>
      <w:effect w:val="none"/>
      <w:vertAlign w:val="baseline"/>
      <w:cs w:val="0"/>
      <w:em w:val="none"/>
      <w:lang w:bidi="ar-SA" w:eastAsia="es-CO" w:val="es-CO"/>
    </w:rPr>
  </w:style>
  <w:style w:type="paragraph" w:styleId="Normal(Web)">
    <w:name w:val="Normal (Web)"/>
    <w:basedOn w:val="Normal"/>
    <w:next w:val="Normal(Web)"/>
    <w:autoRedefine w:val="0"/>
    <w:hidden w:val="0"/>
    <w:qFormat w:val="1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s-CO" w:val="es-CO"/>
    </w:rPr>
  </w:style>
  <w:style w:type="character" w:styleId="Textoennegrita">
    <w:name w:val="Texto en negrita"/>
    <w:next w:val="Textoennegrita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Énfasis">
    <w:name w:val="Énfasis"/>
    <w:next w:val="Énf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paragraph" w:styleId="Párrafodelista">
    <w:name w:val="Párrafo de lista"/>
    <w:basedOn w:val="Normal"/>
    <w:next w:val="Párrafodelista"/>
    <w:autoRedefine w:val="0"/>
    <w:hidden w:val="0"/>
    <w:qFormat w:val="0"/>
    <w:pPr>
      <w:suppressAutoHyphens w:val="1"/>
      <w:spacing w:after="160" w:line="480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CO"/>
    </w:rPr>
  </w:style>
  <w:style w:type="character" w:styleId="PárrafodelistaCar">
    <w:name w:val="Párrafo de lista Car"/>
    <w:next w:val="PárrafodelistaC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Númerodepágina">
    <w:name w:val="Número de página"/>
    <w:basedOn w:val="Fuentedepárrafopredeter."/>
    <w:next w:val="Númerodepágina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Default">
    <w:name w:val="Default"/>
    <w:next w:val="Default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erdana" w:cs="Verdana" w:eastAsia="Times New Roman" w:hAnsi="Verdana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es-ES" w:val="es-ES"/>
    </w:rPr>
  </w:style>
  <w:style w:type="paragraph" w:styleId="MARITZA3">
    <w:name w:val="MARITZA3"/>
    <w:next w:val="MARITZA3"/>
    <w:autoRedefine w:val="0"/>
    <w:hidden w:val="0"/>
    <w:qFormat w:val="0"/>
    <w:pPr>
      <w:tabs>
        <w:tab w:val="left" w:leader="none" w:pos="-720"/>
        <w:tab w:val="left" w:leader="none" w:pos="0"/>
      </w:tabs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Times New Roman" w:eastAsia="Times New Roman" w:hAnsi="Times New Roman"/>
      <w:spacing w:val="-2"/>
      <w:w w:val="100"/>
      <w:position w:val="-1"/>
      <w:effect w:val="none"/>
      <w:vertAlign w:val="baseline"/>
      <w:cs w:val="0"/>
      <w:em w:val="none"/>
      <w:lang w:bidi="ar-SA" w:eastAsia="es-E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cGRGlNV/JK1bUWE+0grOH2mlLQ==">CgMxLjAyDmgua2szazA2bjI0YzRyOAByITFKNFdDWmhiOVdLTWZtVGZmNU5CM25Ra0Q0OEwyQUJZUA==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2025-02-25T10:17:00Z</dcterms:created>
  <dc:creator>MARKETING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